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7F2D8" w14:textId="73B2E36E" w:rsidR="00CB2EE9" w:rsidRDefault="000F65C7" w:rsidP="000F65C7">
      <w:pPr>
        <w:pStyle w:val="Titel"/>
        <w:rPr>
          <w:lang w:val="en-GB"/>
        </w:rPr>
      </w:pPr>
      <w:r w:rsidRPr="000F65C7">
        <w:rPr>
          <w:lang w:val="en-GB"/>
        </w:rPr>
        <w:t>Data protection and data processing in scientific studies.</w:t>
      </w:r>
    </w:p>
    <w:p w14:paraId="30CBEE5E" w14:textId="7309E659" w:rsidR="00A3470D" w:rsidRDefault="00A3470D" w:rsidP="00A3470D">
      <w:pPr>
        <w:rPr>
          <w:lang w:val="en-GB"/>
        </w:rPr>
      </w:pPr>
      <w:r>
        <w:rPr>
          <w:lang w:val="en-GB"/>
        </w:rPr>
        <w:t xml:space="preserve">Joachim Westenhöfer, </w:t>
      </w:r>
      <w:r w:rsidR="00FA4456">
        <w:rPr>
          <w:lang w:val="en-GB"/>
        </w:rPr>
        <w:t>08.11.</w:t>
      </w:r>
      <w:r>
        <w:rPr>
          <w:lang w:val="en-GB"/>
        </w:rPr>
        <w:t>2022</w:t>
      </w:r>
      <w:r w:rsidR="00FA4456">
        <w:rPr>
          <w:lang w:val="en-GB"/>
        </w:rPr>
        <w:t xml:space="preserve">, adopted by the </w:t>
      </w:r>
      <w:r w:rsidR="00C86162">
        <w:rPr>
          <w:lang w:val="en-GB"/>
        </w:rPr>
        <w:t>Ethics Committee of the University of Applied Sciences Hamburg</w:t>
      </w:r>
      <w:r w:rsidR="00FA4456">
        <w:rPr>
          <w:lang w:val="en-GB"/>
        </w:rPr>
        <w:t xml:space="preserve"> 08.11.2022</w:t>
      </w:r>
    </w:p>
    <w:p w14:paraId="581227B6" w14:textId="07440DAF" w:rsidR="00B37B33" w:rsidRDefault="00B37B33" w:rsidP="000F65C7">
      <w:pPr>
        <w:pStyle w:val="berschrift1"/>
        <w:rPr>
          <w:lang w:val="en-GB"/>
        </w:rPr>
      </w:pPr>
      <w:bookmarkStart w:id="0" w:name="_GoBack"/>
      <w:bookmarkEnd w:id="0"/>
      <w:r>
        <w:rPr>
          <w:lang w:val="en-GB"/>
        </w:rPr>
        <w:t>Preface</w:t>
      </w:r>
    </w:p>
    <w:p w14:paraId="58CDB03D" w14:textId="1BD4F32F" w:rsidR="00B37B33" w:rsidRPr="00B37B33" w:rsidRDefault="00B37B33" w:rsidP="00B37B33">
      <w:pPr>
        <w:rPr>
          <w:lang w:val="en-GB"/>
        </w:rPr>
      </w:pPr>
      <w:r>
        <w:rPr>
          <w:lang w:val="en-GB"/>
        </w:rPr>
        <w:t xml:space="preserve">This text provides a short overview </w:t>
      </w:r>
      <w:r w:rsidR="00B67B19">
        <w:rPr>
          <w:lang w:val="en-GB"/>
        </w:rPr>
        <w:t>of</w:t>
      </w:r>
      <w:r>
        <w:rPr>
          <w:lang w:val="en-GB"/>
        </w:rPr>
        <w:t xml:space="preserve"> the major consequences of data protection </w:t>
      </w:r>
      <w:r w:rsidR="009B041E">
        <w:rPr>
          <w:lang w:val="en-GB"/>
        </w:rPr>
        <w:t xml:space="preserve">regulations and good scientific practice and is intended to provide assistance for </w:t>
      </w:r>
      <w:proofErr w:type="spellStart"/>
      <w:r w:rsidR="009B041E">
        <w:rPr>
          <w:lang w:val="en-GB"/>
        </w:rPr>
        <w:t>reseachers</w:t>
      </w:r>
      <w:proofErr w:type="spellEnd"/>
      <w:r w:rsidR="009B041E">
        <w:rPr>
          <w:lang w:val="en-GB"/>
        </w:rPr>
        <w:t>.</w:t>
      </w:r>
    </w:p>
    <w:p w14:paraId="6074EC7B" w14:textId="1A8E16EC" w:rsidR="000F65C7" w:rsidRPr="000F65C7" w:rsidRDefault="000F65C7" w:rsidP="000F65C7">
      <w:pPr>
        <w:pStyle w:val="berschrift1"/>
        <w:rPr>
          <w:lang w:val="en-GB"/>
        </w:rPr>
      </w:pPr>
      <w:r w:rsidRPr="000F65C7">
        <w:rPr>
          <w:lang w:val="en-GB"/>
        </w:rPr>
        <w:t>General terms</w:t>
      </w:r>
    </w:p>
    <w:p w14:paraId="39B852F6" w14:textId="2B6D25BD" w:rsidR="000F65C7" w:rsidRDefault="000F65C7">
      <w:pPr>
        <w:rPr>
          <w:lang w:val="en-GB"/>
        </w:rPr>
      </w:pPr>
      <w:r w:rsidRPr="000F65C7">
        <w:rPr>
          <w:lang w:val="en-GB"/>
        </w:rPr>
        <w:t xml:space="preserve">Regarding data, we have </w:t>
      </w:r>
      <w:r>
        <w:rPr>
          <w:lang w:val="en-GB"/>
        </w:rPr>
        <w:t xml:space="preserve">to distinguish two or three types of data. These terms are defined in note (26) of </w:t>
      </w:r>
      <w:r w:rsidR="00A3470D">
        <w:rPr>
          <w:lang w:val="en-GB"/>
        </w:rPr>
        <w:t xml:space="preserve">European </w:t>
      </w:r>
      <w:r w:rsidR="00A3470D" w:rsidRPr="00A3470D">
        <w:rPr>
          <w:lang w:val="en-GB"/>
        </w:rPr>
        <w:t>General Data Protection Regulation</w:t>
      </w:r>
      <w:r w:rsidR="00A3470D">
        <w:rPr>
          <w:lang w:val="en-GB"/>
        </w:rPr>
        <w:t xml:space="preserve"> (</w:t>
      </w:r>
      <w:r w:rsidR="003F7927">
        <w:rPr>
          <w:lang w:val="en-GB"/>
        </w:rPr>
        <w:t xml:space="preserve">GDPR: </w:t>
      </w:r>
      <w:r w:rsidR="00A3470D">
        <w:rPr>
          <w:lang w:val="en-GB"/>
        </w:rPr>
        <w:t xml:space="preserve">Regulation </w:t>
      </w:r>
      <w:r w:rsidR="00A3470D" w:rsidRPr="00A3470D">
        <w:rPr>
          <w:lang w:val="en-GB"/>
        </w:rPr>
        <w:t>(EU) 2016/679</w:t>
      </w:r>
      <w:r w:rsidR="00A3470D">
        <w:rPr>
          <w:lang w:val="en-GB"/>
        </w:rPr>
        <w:t>)</w:t>
      </w:r>
      <w:r>
        <w:rPr>
          <w:lang w:val="en-GB"/>
        </w:rPr>
        <w:t>:</w:t>
      </w:r>
    </w:p>
    <w:p w14:paraId="22AEC98D" w14:textId="0FA4E02D" w:rsidR="000F65C7" w:rsidRDefault="000F65C7">
      <w:pPr>
        <w:rPr>
          <w:lang w:val="en-GB"/>
        </w:rPr>
      </w:pPr>
      <w:r w:rsidRPr="00A3470D">
        <w:rPr>
          <w:b/>
          <w:bCs/>
          <w:lang w:val="en-GB"/>
        </w:rPr>
        <w:t>Personal data</w:t>
      </w:r>
      <w:r>
        <w:rPr>
          <w:lang w:val="en-GB"/>
        </w:rPr>
        <w:t>: any information concerning an identified or identifiable natural person</w:t>
      </w:r>
    </w:p>
    <w:p w14:paraId="4338E11C" w14:textId="0C62FA1F" w:rsidR="000F65C7" w:rsidRDefault="000F65C7">
      <w:pPr>
        <w:rPr>
          <w:lang w:val="en-GB"/>
        </w:rPr>
      </w:pPr>
      <w:r w:rsidRPr="00A3470D">
        <w:rPr>
          <w:b/>
          <w:bCs/>
          <w:lang w:val="en-GB"/>
        </w:rPr>
        <w:t>Pseudonymised data</w:t>
      </w:r>
      <w:r>
        <w:rPr>
          <w:lang w:val="en-GB"/>
        </w:rPr>
        <w:t xml:space="preserve">: Personal data which has undergone </w:t>
      </w:r>
      <w:r w:rsidRPr="000F65C7">
        <w:rPr>
          <w:lang w:val="en-GB"/>
        </w:rPr>
        <w:t>pseudonymisation</w:t>
      </w:r>
      <w:r w:rsidR="001E0885">
        <w:rPr>
          <w:lang w:val="en-GB"/>
        </w:rPr>
        <w:t xml:space="preserve">. </w:t>
      </w:r>
    </w:p>
    <w:p w14:paraId="4E23B673" w14:textId="611DDF59" w:rsidR="00A3470D" w:rsidRDefault="00A3470D">
      <w:pPr>
        <w:rPr>
          <w:lang w:val="en-GB"/>
        </w:rPr>
      </w:pPr>
      <w:r w:rsidRPr="00A3470D">
        <w:rPr>
          <w:b/>
          <w:bCs/>
          <w:lang w:val="en-GB"/>
        </w:rPr>
        <w:t>Anonymised data</w:t>
      </w:r>
      <w:r>
        <w:rPr>
          <w:lang w:val="en-GB"/>
        </w:rPr>
        <w:t>: “</w:t>
      </w:r>
      <w:r w:rsidRPr="00A3470D">
        <w:rPr>
          <w:lang w:val="en-GB"/>
        </w:rPr>
        <w:t>information which does not relate to an identified or identifiable natural person or to personal data rendered anonymous in such a manner that the data subject is not or no longer identifiable</w:t>
      </w:r>
      <w:r>
        <w:rPr>
          <w:lang w:val="en-GB"/>
        </w:rPr>
        <w:t>”.</w:t>
      </w:r>
    </w:p>
    <w:p w14:paraId="520E53FD" w14:textId="753F91B3" w:rsidR="00A3470D" w:rsidRDefault="00A3470D">
      <w:pPr>
        <w:rPr>
          <w:lang w:val="en-GB"/>
        </w:rPr>
      </w:pPr>
      <w:r>
        <w:rPr>
          <w:lang w:val="en-GB"/>
        </w:rPr>
        <w:t>Important note: Data protection regulation and rules do not apply to anonymised data but applies to personal data and pseudonymised data.</w:t>
      </w:r>
    </w:p>
    <w:p w14:paraId="22C5779D" w14:textId="4D70A6C8" w:rsidR="001E0885" w:rsidRDefault="001E0885">
      <w:pPr>
        <w:rPr>
          <w:lang w:val="en-GB"/>
        </w:rPr>
      </w:pPr>
      <w:r>
        <w:rPr>
          <w:lang w:val="en-GB"/>
        </w:rPr>
        <w:t>Pseudonymised data, that is “p</w:t>
      </w:r>
      <w:r w:rsidRPr="001E0885">
        <w:rPr>
          <w:lang w:val="en-GB"/>
        </w:rPr>
        <w:t>ersonal data which have undergone pseudonymisation, which could be attributed to a natural person by the use of additional information should be considered to be information on an identifiable natural person. To determine whether a natural person is identifiable, account should be taken of all the means reasonably likely to be used, such as singling out, either by the controller or by another person to identify the natural person directly or indirectly. To ascertain whether means are reasonably likely to be used to identify the natural person, account should be taken of all objective factors, such as the costs of and the amount of time required for identification, taking into consideration the available technology at the time of the processing and technological developments.</w:t>
      </w:r>
      <w:r>
        <w:rPr>
          <w:lang w:val="en-GB"/>
        </w:rPr>
        <w:t>”</w:t>
      </w:r>
      <w:r w:rsidR="00C437BB">
        <w:rPr>
          <w:lang w:val="en-GB"/>
        </w:rPr>
        <w:t xml:space="preserve"> (</w:t>
      </w:r>
      <w:r w:rsidR="00C437BB" w:rsidRPr="00C437BB">
        <w:rPr>
          <w:lang w:val="en-GB"/>
        </w:rPr>
        <w:t>General Data Protection Regulation</w:t>
      </w:r>
      <w:r w:rsidR="00C437BB">
        <w:rPr>
          <w:lang w:val="en-GB"/>
        </w:rPr>
        <w:t xml:space="preserve">, </w:t>
      </w:r>
      <w:r w:rsidR="00C437BB" w:rsidRPr="00C437BB">
        <w:rPr>
          <w:lang w:val="en-GB"/>
        </w:rPr>
        <w:t>REGULATION (EU) 2016/679</w:t>
      </w:r>
      <w:r w:rsidR="00C437BB">
        <w:rPr>
          <w:lang w:val="en-GB"/>
        </w:rPr>
        <w:t>, Recital 26)</w:t>
      </w:r>
    </w:p>
    <w:p w14:paraId="1BB91B5A" w14:textId="672461B0" w:rsidR="001E0885" w:rsidRDefault="001E0885">
      <w:pPr>
        <w:rPr>
          <w:lang w:val="en-GB"/>
        </w:rPr>
      </w:pPr>
      <w:r>
        <w:rPr>
          <w:lang w:val="en-GB"/>
        </w:rPr>
        <w:t>The most common occurrence of pseudonymised data in scientific studies is that the data for analyses only contains an ID number or similar, and there exists a separate list which matches these ID numbers to names and/or addresses of identifiable persons.</w:t>
      </w:r>
    </w:p>
    <w:p w14:paraId="79C48742" w14:textId="08BBE606" w:rsidR="001E0885" w:rsidRDefault="001E0885">
      <w:pPr>
        <w:rPr>
          <w:lang w:val="en-GB"/>
        </w:rPr>
      </w:pPr>
      <w:r>
        <w:rPr>
          <w:lang w:val="en-GB"/>
        </w:rPr>
        <w:t>In addition, information which applies only to very few persons makes data identifiable. For example, birth date in combination with sex and postal code is so specific that this make someone easily identifiable.</w:t>
      </w:r>
    </w:p>
    <w:p w14:paraId="2B742A81" w14:textId="5DB28924" w:rsidR="007A46FE" w:rsidRDefault="007A46FE">
      <w:pPr>
        <w:rPr>
          <w:lang w:val="en-GB"/>
        </w:rPr>
      </w:pPr>
      <w:r>
        <w:rPr>
          <w:lang w:val="en-GB"/>
        </w:rPr>
        <w:t>Any collection, storage and processing of personal data (including pseudonymised data) requires the consent of the respective person.</w:t>
      </w:r>
    </w:p>
    <w:p w14:paraId="1F386DC7" w14:textId="57469E1E" w:rsidR="001E0885" w:rsidRDefault="001E0885" w:rsidP="001E0885">
      <w:pPr>
        <w:pStyle w:val="berschrift1"/>
        <w:rPr>
          <w:lang w:val="en-GB"/>
        </w:rPr>
      </w:pPr>
      <w:r>
        <w:rPr>
          <w:lang w:val="en-GB"/>
        </w:rPr>
        <w:t>Data protection consequences and recommendations</w:t>
      </w:r>
    </w:p>
    <w:p w14:paraId="4B2CCD20" w14:textId="4367FB0D" w:rsidR="001E0885" w:rsidRDefault="001E0885" w:rsidP="001E0885">
      <w:pPr>
        <w:rPr>
          <w:lang w:val="en-GB"/>
        </w:rPr>
      </w:pPr>
      <w:r>
        <w:rPr>
          <w:lang w:val="en-GB"/>
        </w:rPr>
        <w:t xml:space="preserve">If the purpose of the study </w:t>
      </w:r>
      <w:r w:rsidR="000B1671">
        <w:rPr>
          <w:lang w:val="en-GB"/>
        </w:rPr>
        <w:t>allows, collect, store and process only anonymized data.</w:t>
      </w:r>
    </w:p>
    <w:p w14:paraId="07170C93" w14:textId="2F4467DA" w:rsidR="000B1671" w:rsidRDefault="000B1671" w:rsidP="001E0885">
      <w:pPr>
        <w:rPr>
          <w:lang w:val="en-GB"/>
        </w:rPr>
      </w:pPr>
      <w:r>
        <w:rPr>
          <w:lang w:val="en-GB"/>
        </w:rPr>
        <w:t>Of course, even for anonymized data</w:t>
      </w:r>
      <w:r w:rsidR="005A3C3C">
        <w:rPr>
          <w:lang w:val="en-GB"/>
        </w:rPr>
        <w:t>, usually,</w:t>
      </w:r>
      <w:r>
        <w:rPr>
          <w:lang w:val="en-GB"/>
        </w:rPr>
        <w:t xml:space="preserve"> you need informed consent. </w:t>
      </w:r>
      <w:r w:rsidR="005A3C3C">
        <w:rPr>
          <w:lang w:val="en-GB"/>
        </w:rPr>
        <w:t xml:space="preserve">This requirement </w:t>
      </w:r>
      <w:r w:rsidR="003F7927">
        <w:rPr>
          <w:lang w:val="en-GB"/>
        </w:rPr>
        <w:t>does not result</w:t>
      </w:r>
      <w:r w:rsidR="005A3C3C">
        <w:rPr>
          <w:lang w:val="en-GB"/>
        </w:rPr>
        <w:t xml:space="preserve"> from data protection regulations, but from the rights of participants in scientific </w:t>
      </w:r>
      <w:r w:rsidR="005A3C3C">
        <w:rPr>
          <w:lang w:val="en-GB"/>
        </w:rPr>
        <w:lastRenderedPageBreak/>
        <w:t xml:space="preserve">studies </w:t>
      </w:r>
      <w:r w:rsidR="003F7927">
        <w:rPr>
          <w:lang w:val="en-GB"/>
        </w:rPr>
        <w:t>as detailed in the Helsinki declaration</w:t>
      </w:r>
      <w:r w:rsidR="00442A36">
        <w:rPr>
          <w:lang w:val="en-GB"/>
        </w:rPr>
        <w:t xml:space="preserve"> (Oct. 2013 version)</w:t>
      </w:r>
      <w:r w:rsidR="00182023">
        <w:rPr>
          <w:lang w:val="en-GB"/>
        </w:rPr>
        <w:t xml:space="preserve">, particularly numbers </w:t>
      </w:r>
      <w:r w:rsidR="00442A36">
        <w:rPr>
          <w:lang w:val="en-GB"/>
        </w:rPr>
        <w:t>25-32</w:t>
      </w:r>
      <w:r w:rsidR="003F7927">
        <w:rPr>
          <w:lang w:val="en-GB"/>
        </w:rPr>
        <w:t xml:space="preserve">. </w:t>
      </w:r>
      <w:r>
        <w:rPr>
          <w:lang w:val="en-GB"/>
        </w:rPr>
        <w:t>The informed consent forms have to be kept strictly separate from the other data, and strictly confidential, e.g. in a locked cabinet or similar with defined access opportunity (who has access to it).</w:t>
      </w:r>
    </w:p>
    <w:p w14:paraId="226D24BA" w14:textId="50FB58CF" w:rsidR="000B1671" w:rsidRDefault="000B1671" w:rsidP="001E0885">
      <w:pPr>
        <w:rPr>
          <w:lang w:val="en-GB"/>
        </w:rPr>
      </w:pPr>
      <w:r>
        <w:rPr>
          <w:lang w:val="en-GB"/>
        </w:rPr>
        <w:t>If you need personal information, e.g. for a planned follow up study, then store and process only pseudonymised data, using a subject ID and prepare a list (on paper or electronically) which maps subject IDs to personal details, such as name and address (key list or pseudonym list). For this key list the same recommendations are made as for the informed consent forms</w:t>
      </w:r>
      <w:r w:rsidR="000816EE">
        <w:rPr>
          <w:lang w:val="en-GB"/>
        </w:rPr>
        <w:t xml:space="preserve"> (see above)</w:t>
      </w:r>
      <w:r>
        <w:rPr>
          <w:lang w:val="en-GB"/>
        </w:rPr>
        <w:t>. If the list is maintained electronically, then the list must be encrypted by an appropriate tool. It must be documented who has access to the list and/or encryption/decryption keys. The pseudonymised data must be stored on a device with is password protected. It should be documented and restricted who has access to this data.</w:t>
      </w:r>
    </w:p>
    <w:p w14:paraId="7A402B04" w14:textId="77777777" w:rsidR="000816EE" w:rsidRDefault="000B1671" w:rsidP="001E0885">
      <w:pPr>
        <w:rPr>
          <w:lang w:val="en-GB"/>
        </w:rPr>
      </w:pPr>
      <w:r>
        <w:rPr>
          <w:lang w:val="en-GB"/>
        </w:rPr>
        <w:t xml:space="preserve">Any pseudonymised data should be anonymised as soon as possible. </w:t>
      </w:r>
      <w:r w:rsidR="000816EE">
        <w:rPr>
          <w:lang w:val="en-GB"/>
        </w:rPr>
        <w:t xml:space="preserve">Study subjects must be informed when this will happen and have to give consent for this. </w:t>
      </w:r>
    </w:p>
    <w:p w14:paraId="49F12963" w14:textId="37FED792" w:rsidR="000B1671" w:rsidRDefault="000816EE" w:rsidP="001E0885">
      <w:pPr>
        <w:rPr>
          <w:lang w:val="en-GB"/>
        </w:rPr>
      </w:pPr>
      <w:r>
        <w:rPr>
          <w:lang w:val="en-GB"/>
        </w:rPr>
        <w:t>Anonymisation of data requires the secure deletion of the key list. In addition, parts of the information which would allow identification of persons, alone or in combination, have to be deleted or transformed in a way that make the information really anonymised.</w:t>
      </w:r>
    </w:p>
    <w:p w14:paraId="46A0E071" w14:textId="08336D5D" w:rsidR="00717709" w:rsidRDefault="00717709" w:rsidP="001E0885">
      <w:pPr>
        <w:rPr>
          <w:lang w:val="en-GB"/>
        </w:rPr>
      </w:pPr>
      <w:r>
        <w:rPr>
          <w:lang w:val="en-GB"/>
        </w:rPr>
        <w:t>The following table gives an overview about the three types of data which are of relevance</w:t>
      </w:r>
    </w:p>
    <w:tbl>
      <w:tblPr>
        <w:tblStyle w:val="Tabellenraster"/>
        <w:tblW w:w="0" w:type="auto"/>
        <w:tblLook w:val="04A0" w:firstRow="1" w:lastRow="0" w:firstColumn="1" w:lastColumn="0" w:noHBand="0" w:noVBand="1"/>
      </w:tblPr>
      <w:tblGrid>
        <w:gridCol w:w="2265"/>
        <w:gridCol w:w="2265"/>
        <w:gridCol w:w="2266"/>
        <w:gridCol w:w="2266"/>
      </w:tblGrid>
      <w:tr w:rsidR="009F0E23" w14:paraId="148968C9" w14:textId="77777777" w:rsidTr="009F0E23">
        <w:tc>
          <w:tcPr>
            <w:tcW w:w="2265" w:type="dxa"/>
          </w:tcPr>
          <w:p w14:paraId="2A2B6F3C" w14:textId="0B544F07" w:rsidR="009F0E23" w:rsidRDefault="00634CF0" w:rsidP="001E0885">
            <w:pPr>
              <w:rPr>
                <w:lang w:val="en-GB"/>
              </w:rPr>
            </w:pPr>
            <w:r>
              <w:rPr>
                <w:lang w:val="en-GB"/>
              </w:rPr>
              <w:t>Characteristic of data processing and storage</w:t>
            </w:r>
          </w:p>
        </w:tc>
        <w:tc>
          <w:tcPr>
            <w:tcW w:w="2265" w:type="dxa"/>
          </w:tcPr>
          <w:p w14:paraId="5F572AA2" w14:textId="5C26697E" w:rsidR="009F0E23" w:rsidRDefault="009F0E23" w:rsidP="001E0885">
            <w:pPr>
              <w:rPr>
                <w:lang w:val="en-GB"/>
              </w:rPr>
            </w:pPr>
            <w:r>
              <w:rPr>
                <w:lang w:val="en-GB"/>
              </w:rPr>
              <w:t>Informed Consent</w:t>
            </w:r>
          </w:p>
        </w:tc>
        <w:tc>
          <w:tcPr>
            <w:tcW w:w="2266" w:type="dxa"/>
          </w:tcPr>
          <w:p w14:paraId="2E0B80E3" w14:textId="079A0A87" w:rsidR="009F0E23" w:rsidRDefault="009F0E23" w:rsidP="001E0885">
            <w:pPr>
              <w:rPr>
                <w:lang w:val="en-GB"/>
              </w:rPr>
            </w:pPr>
            <w:r>
              <w:rPr>
                <w:lang w:val="en-GB"/>
              </w:rPr>
              <w:t>Key List (Pseudonym List)</w:t>
            </w:r>
          </w:p>
        </w:tc>
        <w:tc>
          <w:tcPr>
            <w:tcW w:w="2266" w:type="dxa"/>
          </w:tcPr>
          <w:p w14:paraId="0A5C5DDC" w14:textId="2790C791" w:rsidR="009F0E23" w:rsidRDefault="009F0E23" w:rsidP="001E0885">
            <w:pPr>
              <w:rPr>
                <w:lang w:val="en-GB"/>
              </w:rPr>
            </w:pPr>
            <w:r>
              <w:rPr>
                <w:lang w:val="en-GB"/>
              </w:rPr>
              <w:t>Scientific Use Data</w:t>
            </w:r>
            <w:r w:rsidR="004D1DA1">
              <w:rPr>
                <w:lang w:val="en-GB"/>
              </w:rPr>
              <w:t xml:space="preserve"> (SUD)</w:t>
            </w:r>
          </w:p>
        </w:tc>
      </w:tr>
      <w:tr w:rsidR="009F0E23" w14:paraId="5C0E07B8" w14:textId="77777777" w:rsidTr="009F0E23">
        <w:tc>
          <w:tcPr>
            <w:tcW w:w="2265" w:type="dxa"/>
          </w:tcPr>
          <w:p w14:paraId="7685B2C5" w14:textId="3979CF42" w:rsidR="009F0E23" w:rsidRDefault="009F0E23" w:rsidP="001E0885">
            <w:pPr>
              <w:rPr>
                <w:lang w:val="en-GB"/>
              </w:rPr>
            </w:pPr>
          </w:p>
        </w:tc>
        <w:tc>
          <w:tcPr>
            <w:tcW w:w="2265" w:type="dxa"/>
          </w:tcPr>
          <w:p w14:paraId="022821E9" w14:textId="66F95113" w:rsidR="009F0E23" w:rsidRDefault="009F0E23" w:rsidP="001E0885">
            <w:pPr>
              <w:rPr>
                <w:lang w:val="en-GB"/>
              </w:rPr>
            </w:pPr>
            <w:r>
              <w:rPr>
                <w:lang w:val="en-GB"/>
              </w:rPr>
              <w:t xml:space="preserve">Signature </w:t>
            </w:r>
            <w:r w:rsidR="00833C83">
              <w:rPr>
                <w:lang w:val="en-GB"/>
              </w:rPr>
              <w:t xml:space="preserve">(on paper) </w:t>
            </w:r>
            <w:r>
              <w:rPr>
                <w:lang w:val="en-GB"/>
              </w:rPr>
              <w:t>or active selection of agreement (online)</w:t>
            </w:r>
          </w:p>
        </w:tc>
        <w:tc>
          <w:tcPr>
            <w:tcW w:w="2266" w:type="dxa"/>
          </w:tcPr>
          <w:p w14:paraId="58A9A250" w14:textId="40473147" w:rsidR="009F0E23" w:rsidRDefault="009F0E23" w:rsidP="001E0885">
            <w:pPr>
              <w:rPr>
                <w:lang w:val="en-GB"/>
              </w:rPr>
            </w:pPr>
            <w:r>
              <w:rPr>
                <w:lang w:val="en-GB"/>
              </w:rPr>
              <w:t>Name (contact data if needed) plus ID</w:t>
            </w:r>
          </w:p>
        </w:tc>
        <w:tc>
          <w:tcPr>
            <w:tcW w:w="2266" w:type="dxa"/>
          </w:tcPr>
          <w:p w14:paraId="7EC4B984" w14:textId="373F0D83" w:rsidR="009F0E23" w:rsidRDefault="009F0E23" w:rsidP="001E0885">
            <w:pPr>
              <w:rPr>
                <w:lang w:val="en-GB"/>
              </w:rPr>
            </w:pPr>
            <w:r>
              <w:rPr>
                <w:lang w:val="en-GB"/>
              </w:rPr>
              <w:t>Only ID, no personal details which allow identi</w:t>
            </w:r>
            <w:r w:rsidR="00EF4AA8">
              <w:rPr>
                <w:lang w:val="en-GB"/>
              </w:rPr>
              <w:t>fi</w:t>
            </w:r>
            <w:r>
              <w:rPr>
                <w:lang w:val="en-GB"/>
              </w:rPr>
              <w:t>cation</w:t>
            </w:r>
            <w:r w:rsidR="00717709">
              <w:rPr>
                <w:lang w:val="en-GB"/>
              </w:rPr>
              <w:t xml:space="preserve">; any </w:t>
            </w:r>
            <w:r w:rsidR="00EF4AA8">
              <w:rPr>
                <w:lang w:val="en-GB"/>
              </w:rPr>
              <w:t xml:space="preserve">other </w:t>
            </w:r>
            <w:r w:rsidR="00717709">
              <w:rPr>
                <w:lang w:val="en-GB"/>
              </w:rPr>
              <w:t>data that is needed for the research</w:t>
            </w:r>
          </w:p>
        </w:tc>
      </w:tr>
      <w:tr w:rsidR="009F0E23" w14:paraId="75BB8CD7" w14:textId="77777777" w:rsidTr="009F0E23">
        <w:tc>
          <w:tcPr>
            <w:tcW w:w="2265" w:type="dxa"/>
          </w:tcPr>
          <w:p w14:paraId="214B06F8" w14:textId="35D400E1" w:rsidR="009F0E23" w:rsidRDefault="00717709" w:rsidP="001E0885">
            <w:pPr>
              <w:rPr>
                <w:lang w:val="en-GB"/>
              </w:rPr>
            </w:pPr>
            <w:r>
              <w:rPr>
                <w:lang w:val="en-GB"/>
              </w:rPr>
              <w:t>Pseudonymised data processing and storage</w:t>
            </w:r>
          </w:p>
        </w:tc>
        <w:tc>
          <w:tcPr>
            <w:tcW w:w="2265" w:type="dxa"/>
          </w:tcPr>
          <w:p w14:paraId="3BA3FE94" w14:textId="77777777" w:rsidR="00EF4AA8" w:rsidRDefault="00833C83" w:rsidP="001E0885">
            <w:pPr>
              <w:rPr>
                <w:lang w:val="en-GB"/>
              </w:rPr>
            </w:pPr>
            <w:r>
              <w:rPr>
                <w:lang w:val="en-GB"/>
              </w:rPr>
              <w:t>If on paper: k</w:t>
            </w:r>
            <w:r w:rsidR="009F0E23">
              <w:rPr>
                <w:lang w:val="en-GB"/>
              </w:rPr>
              <w:t>eep separate, confidential</w:t>
            </w:r>
            <w:r>
              <w:rPr>
                <w:lang w:val="en-GB"/>
              </w:rPr>
              <w:t xml:space="preserve"> (locked)</w:t>
            </w:r>
            <w:r w:rsidR="009F0E23">
              <w:rPr>
                <w:lang w:val="en-GB"/>
              </w:rPr>
              <w:t xml:space="preserve">, </w:t>
            </w:r>
            <w:r>
              <w:rPr>
                <w:lang w:val="en-GB"/>
              </w:rPr>
              <w:t>restricted access;</w:t>
            </w:r>
          </w:p>
          <w:p w14:paraId="56572BDD" w14:textId="40E8BCE9" w:rsidR="009F0E23" w:rsidRDefault="00833C83" w:rsidP="001E0885">
            <w:pPr>
              <w:rPr>
                <w:lang w:val="en-GB"/>
              </w:rPr>
            </w:pPr>
            <w:r>
              <w:rPr>
                <w:lang w:val="en-GB"/>
              </w:rPr>
              <w:t>electronic with personal details: separate, encrypted, restricted access</w:t>
            </w:r>
          </w:p>
        </w:tc>
        <w:tc>
          <w:tcPr>
            <w:tcW w:w="2266" w:type="dxa"/>
          </w:tcPr>
          <w:p w14:paraId="693A99F8" w14:textId="747E018D" w:rsidR="009F0E23" w:rsidRDefault="00833C83" w:rsidP="001E0885">
            <w:pPr>
              <w:rPr>
                <w:lang w:val="en-GB"/>
              </w:rPr>
            </w:pPr>
            <w:r>
              <w:rPr>
                <w:lang w:val="en-GB"/>
              </w:rPr>
              <w:t xml:space="preserve">Keep separate, </w:t>
            </w:r>
            <w:proofErr w:type="spellStart"/>
            <w:r>
              <w:rPr>
                <w:lang w:val="en-GB"/>
              </w:rPr>
              <w:t>conficential</w:t>
            </w:r>
            <w:proofErr w:type="spellEnd"/>
            <w:r>
              <w:rPr>
                <w:lang w:val="en-GB"/>
              </w:rPr>
              <w:t xml:space="preserve"> (locked or encrypted), restricted access</w:t>
            </w:r>
          </w:p>
        </w:tc>
        <w:tc>
          <w:tcPr>
            <w:tcW w:w="2266" w:type="dxa"/>
          </w:tcPr>
          <w:p w14:paraId="6ABCE4F8" w14:textId="77777777" w:rsidR="004D1DA1" w:rsidRDefault="00833C83" w:rsidP="001E0885">
            <w:pPr>
              <w:rPr>
                <w:lang w:val="en-GB"/>
              </w:rPr>
            </w:pPr>
            <w:r>
              <w:rPr>
                <w:lang w:val="en-GB"/>
              </w:rPr>
              <w:t xml:space="preserve">Usually restricted access. </w:t>
            </w:r>
          </w:p>
          <w:p w14:paraId="0831B363" w14:textId="7B3D3585" w:rsidR="009F0E23" w:rsidRDefault="00833C83" w:rsidP="001E0885">
            <w:pPr>
              <w:rPr>
                <w:lang w:val="en-GB"/>
              </w:rPr>
            </w:pPr>
            <w:r>
              <w:rPr>
                <w:lang w:val="en-GB"/>
              </w:rPr>
              <w:t>If de-anonymisation is unlikely, consider open access</w:t>
            </w:r>
            <w:r w:rsidR="00634CF0">
              <w:rPr>
                <w:lang w:val="en-GB"/>
              </w:rPr>
              <w:t xml:space="preserve"> or restricted access</w:t>
            </w:r>
          </w:p>
        </w:tc>
      </w:tr>
      <w:tr w:rsidR="004D1DA1" w14:paraId="3786879E" w14:textId="77777777" w:rsidTr="009F0E23">
        <w:tc>
          <w:tcPr>
            <w:tcW w:w="2265" w:type="dxa"/>
          </w:tcPr>
          <w:p w14:paraId="1D69ACC6" w14:textId="3DB87B8D" w:rsidR="004D1DA1" w:rsidRDefault="004D1DA1" w:rsidP="001E0885">
            <w:pPr>
              <w:rPr>
                <w:lang w:val="en-GB"/>
              </w:rPr>
            </w:pPr>
            <w:r>
              <w:rPr>
                <w:lang w:val="en-GB"/>
              </w:rPr>
              <w:t>Anonymized data processing and storage</w:t>
            </w:r>
            <w:r w:rsidR="00634CF0">
              <w:rPr>
                <w:lang w:val="en-GB"/>
              </w:rPr>
              <w:t xml:space="preserve"> (including anonymous data)</w:t>
            </w:r>
          </w:p>
        </w:tc>
        <w:tc>
          <w:tcPr>
            <w:tcW w:w="2265" w:type="dxa"/>
          </w:tcPr>
          <w:p w14:paraId="044587E1" w14:textId="1F4BAE8C" w:rsidR="004D1DA1" w:rsidRDefault="004D1DA1" w:rsidP="001E0885">
            <w:pPr>
              <w:rPr>
                <w:lang w:val="en-GB"/>
              </w:rPr>
            </w:pPr>
            <w:r>
              <w:rPr>
                <w:lang w:val="en-GB"/>
              </w:rPr>
              <w:t xml:space="preserve">If consent is given in online survey, avoid collection of details which allow identification </w:t>
            </w:r>
            <w:r w:rsidR="00717709">
              <w:rPr>
                <w:lang w:val="en-GB"/>
              </w:rPr>
              <w:sym w:font="Wingdings" w:char="F0F0"/>
            </w:r>
            <w:r>
              <w:rPr>
                <w:lang w:val="en-GB"/>
              </w:rPr>
              <w:t xml:space="preserve"> consent may be recorded in SUD</w:t>
            </w:r>
          </w:p>
          <w:p w14:paraId="7A15DC9A" w14:textId="79E57CB9" w:rsidR="004D1DA1" w:rsidRDefault="004D1DA1" w:rsidP="001E0885">
            <w:pPr>
              <w:rPr>
                <w:lang w:val="en-GB"/>
              </w:rPr>
            </w:pPr>
            <w:r>
              <w:rPr>
                <w:lang w:val="en-GB"/>
              </w:rPr>
              <w:t>Otherwise: as above</w:t>
            </w:r>
          </w:p>
        </w:tc>
        <w:tc>
          <w:tcPr>
            <w:tcW w:w="2266" w:type="dxa"/>
          </w:tcPr>
          <w:p w14:paraId="33BCF463" w14:textId="122CF895" w:rsidR="004D1DA1" w:rsidRDefault="004D1DA1" w:rsidP="001E0885">
            <w:pPr>
              <w:rPr>
                <w:lang w:val="en-GB"/>
              </w:rPr>
            </w:pPr>
            <w:r>
              <w:rPr>
                <w:lang w:val="en-GB"/>
              </w:rPr>
              <w:t>Must not exist</w:t>
            </w:r>
          </w:p>
        </w:tc>
        <w:tc>
          <w:tcPr>
            <w:tcW w:w="2266" w:type="dxa"/>
          </w:tcPr>
          <w:p w14:paraId="72F837EE" w14:textId="41A1B9CE" w:rsidR="004D1DA1" w:rsidRDefault="004D1DA1" w:rsidP="001E0885">
            <w:pPr>
              <w:rPr>
                <w:lang w:val="en-GB"/>
              </w:rPr>
            </w:pPr>
            <w:r>
              <w:rPr>
                <w:lang w:val="en-GB"/>
              </w:rPr>
              <w:t>as above</w:t>
            </w:r>
          </w:p>
        </w:tc>
      </w:tr>
      <w:tr w:rsidR="004D1DA1" w14:paraId="1E69CFCD" w14:textId="77777777" w:rsidTr="009F0E23">
        <w:tc>
          <w:tcPr>
            <w:tcW w:w="2265" w:type="dxa"/>
          </w:tcPr>
          <w:p w14:paraId="5AC140BF" w14:textId="5F6ADDA0" w:rsidR="004D1DA1" w:rsidRDefault="004D1DA1" w:rsidP="001E0885">
            <w:pPr>
              <w:rPr>
                <w:lang w:val="en-GB"/>
              </w:rPr>
            </w:pPr>
            <w:r>
              <w:rPr>
                <w:lang w:val="en-GB"/>
              </w:rPr>
              <w:t>Storage duration</w:t>
            </w:r>
          </w:p>
        </w:tc>
        <w:tc>
          <w:tcPr>
            <w:tcW w:w="2265" w:type="dxa"/>
          </w:tcPr>
          <w:p w14:paraId="42DDB58E" w14:textId="65B19D97" w:rsidR="004D1DA1" w:rsidRDefault="00717709" w:rsidP="001E0885">
            <w:pPr>
              <w:rPr>
                <w:lang w:val="en-GB"/>
              </w:rPr>
            </w:pPr>
            <w:r>
              <w:rPr>
                <w:lang w:val="en-GB"/>
              </w:rPr>
              <w:t>Usually 10 years (good scientific practice)</w:t>
            </w:r>
          </w:p>
        </w:tc>
        <w:tc>
          <w:tcPr>
            <w:tcW w:w="2266" w:type="dxa"/>
          </w:tcPr>
          <w:p w14:paraId="4E8ADE14" w14:textId="6B241B99" w:rsidR="004D1DA1" w:rsidRDefault="00717709" w:rsidP="001E0885">
            <w:pPr>
              <w:rPr>
                <w:lang w:val="en-GB"/>
              </w:rPr>
            </w:pPr>
            <w:r>
              <w:rPr>
                <w:lang w:val="en-GB"/>
              </w:rPr>
              <w:t xml:space="preserve">Delete/destroy as soon as possible (anonymisation; specify when this will </w:t>
            </w:r>
            <w:r w:rsidR="00EF4AA8">
              <w:rPr>
                <w:lang w:val="en-GB"/>
              </w:rPr>
              <w:t>happen</w:t>
            </w:r>
            <w:r>
              <w:rPr>
                <w:lang w:val="en-GB"/>
              </w:rPr>
              <w:t>)</w:t>
            </w:r>
          </w:p>
        </w:tc>
        <w:tc>
          <w:tcPr>
            <w:tcW w:w="2266" w:type="dxa"/>
          </w:tcPr>
          <w:p w14:paraId="407688C5" w14:textId="0DB441E6" w:rsidR="004D1DA1" w:rsidRDefault="00717709" w:rsidP="001E0885">
            <w:pPr>
              <w:rPr>
                <w:lang w:val="en-GB"/>
              </w:rPr>
            </w:pPr>
            <w:r>
              <w:rPr>
                <w:lang w:val="en-GB"/>
              </w:rPr>
              <w:t>After anonymisation: unlimited, but at least 10 years (good scientific practice)</w:t>
            </w:r>
          </w:p>
        </w:tc>
      </w:tr>
    </w:tbl>
    <w:p w14:paraId="60A34201" w14:textId="7227FF5F" w:rsidR="009F0E23" w:rsidRDefault="009F0E23" w:rsidP="001E0885">
      <w:pPr>
        <w:rPr>
          <w:lang w:val="en-GB"/>
        </w:rPr>
      </w:pPr>
    </w:p>
    <w:p w14:paraId="037CC5A5" w14:textId="6A5C8120" w:rsidR="009F0E23" w:rsidRDefault="00634CF0" w:rsidP="001E0885">
      <w:pPr>
        <w:rPr>
          <w:lang w:val="en-GB"/>
        </w:rPr>
      </w:pPr>
      <w:r w:rsidRPr="00B37B33">
        <w:rPr>
          <w:b/>
          <w:bCs/>
          <w:lang w:val="en-GB"/>
        </w:rPr>
        <w:t>Data sharing</w:t>
      </w:r>
      <w:r>
        <w:rPr>
          <w:lang w:val="en-GB"/>
        </w:rPr>
        <w:t xml:space="preserve"> for scientific use data (SUD): If de-anonymisation of the data is unlikely you could (or even should) consider open access to the dataset or restricted access for which you have to set up rules or regulations of access and processing (for example by contract or general regulations). In any case you should collect the binding assurance of the potential user that he/she will not attempt to de-anonymize the data</w:t>
      </w:r>
      <w:r w:rsidR="00B37B33">
        <w:rPr>
          <w:lang w:val="en-GB"/>
        </w:rPr>
        <w:t xml:space="preserve"> and he/she will not re-distribute the dataset</w:t>
      </w:r>
      <w:r>
        <w:rPr>
          <w:lang w:val="en-GB"/>
        </w:rPr>
        <w:t>.</w:t>
      </w:r>
    </w:p>
    <w:p w14:paraId="7913A44D" w14:textId="63BF23F2" w:rsidR="000B1671" w:rsidRDefault="000816EE" w:rsidP="000816EE">
      <w:pPr>
        <w:pStyle w:val="berschrift1"/>
        <w:rPr>
          <w:lang w:val="en-GB"/>
        </w:rPr>
      </w:pPr>
      <w:r>
        <w:rPr>
          <w:lang w:val="en-GB"/>
        </w:rPr>
        <w:t>Data documentation</w:t>
      </w:r>
    </w:p>
    <w:p w14:paraId="36D2F07A" w14:textId="6CEBFA6A" w:rsidR="000816EE" w:rsidRDefault="000816EE" w:rsidP="000816EE">
      <w:pPr>
        <w:rPr>
          <w:lang w:val="en-GB"/>
        </w:rPr>
      </w:pPr>
      <w:r>
        <w:rPr>
          <w:lang w:val="en-GB"/>
        </w:rPr>
        <w:t>According to Good Scientific Practice all relevant data has to be kept for 10 years. This applies to both, to the anonymised data and to the separately kept consent forms. A procedure should be established that ensures the secure deletion of the consent forms and any other personal data after 10 years.</w:t>
      </w:r>
    </w:p>
    <w:p w14:paraId="33F2A919" w14:textId="0574A021" w:rsidR="000816EE" w:rsidRDefault="000816EE" w:rsidP="000816EE">
      <w:pPr>
        <w:pStyle w:val="berschrift1"/>
        <w:rPr>
          <w:lang w:val="en-GB"/>
        </w:rPr>
      </w:pPr>
      <w:r>
        <w:rPr>
          <w:lang w:val="en-GB"/>
        </w:rPr>
        <w:t>Responsibility</w:t>
      </w:r>
    </w:p>
    <w:p w14:paraId="662FBD12" w14:textId="6B039545" w:rsidR="000816EE" w:rsidRDefault="000816EE" w:rsidP="000816EE">
      <w:pPr>
        <w:rPr>
          <w:lang w:val="en-GB"/>
        </w:rPr>
      </w:pPr>
      <w:r>
        <w:rPr>
          <w:lang w:val="en-GB"/>
        </w:rPr>
        <w:t>Adherence to data protection rules and good scientific practice is the responsibility of the researcher.</w:t>
      </w:r>
    </w:p>
    <w:p w14:paraId="03825D60" w14:textId="68464CEE" w:rsidR="00CB2D25" w:rsidRPr="000816EE" w:rsidRDefault="00CB2D25" w:rsidP="00CB2D25">
      <w:pPr>
        <w:pStyle w:val="berschrift1"/>
        <w:rPr>
          <w:lang w:val="en-GB"/>
        </w:rPr>
      </w:pPr>
      <w:r>
        <w:rPr>
          <w:lang w:val="en-GB"/>
        </w:rPr>
        <w:t>References</w:t>
      </w:r>
    </w:p>
    <w:p w14:paraId="3A3F5293" w14:textId="701B0FB2" w:rsidR="001E0885" w:rsidRDefault="001E0885" w:rsidP="00CB2D25">
      <w:pPr>
        <w:pStyle w:val="berschrift2"/>
        <w:rPr>
          <w:lang w:val="en-GB"/>
        </w:rPr>
      </w:pPr>
      <w:r>
        <w:rPr>
          <w:lang w:val="en-GB"/>
        </w:rPr>
        <w:t>Links to the GDPR</w:t>
      </w:r>
    </w:p>
    <w:p w14:paraId="3BF538C6" w14:textId="25A2FEAF" w:rsidR="001E0885" w:rsidRDefault="00C86162">
      <w:pPr>
        <w:rPr>
          <w:lang w:val="en-GB"/>
        </w:rPr>
      </w:pPr>
      <w:hyperlink r:id="rId4" w:history="1">
        <w:r w:rsidR="001E0885" w:rsidRPr="00CB6A95">
          <w:rPr>
            <w:rStyle w:val="Hyperlink"/>
            <w:lang w:val="en-GB"/>
          </w:rPr>
          <w:t>https://eur-lex.europa.eu/legal-content/EN/TXT/PDF/?uri=CELEX:32016R0679</w:t>
        </w:r>
      </w:hyperlink>
    </w:p>
    <w:p w14:paraId="7F2B3916" w14:textId="0ABC1F57" w:rsidR="001E0885" w:rsidRDefault="00C86162">
      <w:pPr>
        <w:rPr>
          <w:lang w:val="en-GB"/>
        </w:rPr>
      </w:pPr>
      <w:hyperlink r:id="rId5" w:history="1">
        <w:r w:rsidR="001E0885" w:rsidRPr="00CB6A95">
          <w:rPr>
            <w:rStyle w:val="Hyperlink"/>
            <w:lang w:val="en-GB"/>
          </w:rPr>
          <w:t>https://eur-lex.europa.eu/legal-content/DE/TXT/PDF/?uri=CELEX:32016R0679</w:t>
        </w:r>
      </w:hyperlink>
    </w:p>
    <w:p w14:paraId="6AF696B9" w14:textId="219F8338" w:rsidR="00CB2D25" w:rsidRDefault="00CB2D25" w:rsidP="00CB2D25">
      <w:pPr>
        <w:pStyle w:val="berschrift2"/>
      </w:pPr>
      <w:r>
        <w:t>Declaration of Helsinki</w:t>
      </w:r>
    </w:p>
    <w:p w14:paraId="7F79C8F7" w14:textId="20EBC9F8" w:rsidR="00CB2D25" w:rsidRDefault="00CB2D25" w:rsidP="00CB2D25">
      <w:pPr>
        <w:rPr>
          <w:lang w:val="en-GB"/>
        </w:rPr>
      </w:pPr>
      <w:r w:rsidRPr="00CB2D25">
        <w:rPr>
          <w:lang w:val="en-GB"/>
        </w:rPr>
        <w:t>Even though the Declaration of Helsinki applies, strictly speaking, to medical research, the principles laid down should also apply to any research involving human subjects as appropriate.</w:t>
      </w:r>
    </w:p>
    <w:p w14:paraId="4A7C630B" w14:textId="40B19BAF" w:rsidR="00616230" w:rsidRDefault="00C86162" w:rsidP="00616230">
      <w:pPr>
        <w:autoSpaceDE w:val="0"/>
        <w:autoSpaceDN w:val="0"/>
        <w:adjustRightInd w:val="0"/>
        <w:spacing w:before="0" w:after="0"/>
        <w:rPr>
          <w:rFonts w:ascii="Segoe UI" w:hAnsi="Segoe UI" w:cs="Segoe UI"/>
          <w:color w:val="000000"/>
          <w:sz w:val="21"/>
          <w:szCs w:val="21"/>
        </w:rPr>
      </w:pPr>
      <w:hyperlink r:id="rId6" w:history="1">
        <w:r w:rsidR="00616230" w:rsidRPr="0059122E">
          <w:rPr>
            <w:rStyle w:val="Hyperlink"/>
            <w:rFonts w:ascii="Segoe UI" w:hAnsi="Segoe UI" w:cs="Segoe UI"/>
            <w:sz w:val="21"/>
            <w:szCs w:val="21"/>
          </w:rPr>
          <w:t>https://pdf-it.dev.acw.website/please-and-thank-you?url=https://www.wma.net/policies-post/wma-declaration-of-helsinki-ethical-principles-for-medical-research-involving-human-subjects/&amp;pdfName=wma-declaration-of-helsinki-ethical-principles-for-medical-research-involving-human-subjects</w:t>
        </w:r>
      </w:hyperlink>
    </w:p>
    <w:p w14:paraId="7E265DDC" w14:textId="77777777" w:rsidR="00616230" w:rsidRPr="00616230" w:rsidRDefault="00C86162" w:rsidP="00616230">
      <w:pPr>
        <w:autoSpaceDE w:val="0"/>
        <w:autoSpaceDN w:val="0"/>
        <w:adjustRightInd w:val="0"/>
        <w:spacing w:before="0" w:after="0"/>
        <w:rPr>
          <w:rStyle w:val="Hyperlink"/>
          <w:rFonts w:ascii="Segoe UI" w:hAnsi="Segoe UI" w:cs="Segoe UI"/>
          <w:sz w:val="21"/>
          <w:szCs w:val="21"/>
        </w:rPr>
      </w:pPr>
      <w:hyperlink r:id="rId7" w:history="1">
        <w:r w:rsidR="00616230" w:rsidRPr="00616230">
          <w:rPr>
            <w:rStyle w:val="Hyperlink"/>
            <w:rFonts w:ascii="Segoe UI" w:hAnsi="Segoe UI" w:cs="Segoe UI"/>
            <w:sz w:val="21"/>
            <w:szCs w:val="21"/>
          </w:rPr>
          <w:t>https://www.bundesaerztekammer.de/fileadmin/user_upload/downloads/pdf-Ordner/International/Deklaration_von_Helsinki_2013_20190905.pdf</w:t>
        </w:r>
      </w:hyperlink>
    </w:p>
    <w:p w14:paraId="67312913" w14:textId="59BD441C" w:rsidR="003F7927" w:rsidRPr="00CB2D25" w:rsidRDefault="003F7927" w:rsidP="00182023">
      <w:pPr>
        <w:autoSpaceDE w:val="0"/>
        <w:autoSpaceDN w:val="0"/>
        <w:adjustRightInd w:val="0"/>
        <w:spacing w:before="0" w:after="0"/>
        <w:rPr>
          <w:lang w:val="en-GB"/>
        </w:rPr>
      </w:pPr>
    </w:p>
    <w:sectPr w:rsidR="003F7927" w:rsidRPr="00CB2D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C7"/>
    <w:rsid w:val="0001498D"/>
    <w:rsid w:val="0001753B"/>
    <w:rsid w:val="000243C3"/>
    <w:rsid w:val="00024743"/>
    <w:rsid w:val="0002592B"/>
    <w:rsid w:val="00033D05"/>
    <w:rsid w:val="000367C4"/>
    <w:rsid w:val="00036CDC"/>
    <w:rsid w:val="000406A6"/>
    <w:rsid w:val="000413D9"/>
    <w:rsid w:val="00043C6D"/>
    <w:rsid w:val="000446BA"/>
    <w:rsid w:val="000474C0"/>
    <w:rsid w:val="00061C17"/>
    <w:rsid w:val="000816EE"/>
    <w:rsid w:val="0008230D"/>
    <w:rsid w:val="00082B2A"/>
    <w:rsid w:val="000854BF"/>
    <w:rsid w:val="00093F6D"/>
    <w:rsid w:val="000942EA"/>
    <w:rsid w:val="00094990"/>
    <w:rsid w:val="000A1FCC"/>
    <w:rsid w:val="000A22E1"/>
    <w:rsid w:val="000A2587"/>
    <w:rsid w:val="000A2CE8"/>
    <w:rsid w:val="000B0D4C"/>
    <w:rsid w:val="000B1671"/>
    <w:rsid w:val="000C1850"/>
    <w:rsid w:val="000C20EE"/>
    <w:rsid w:val="000C2C79"/>
    <w:rsid w:val="000C3166"/>
    <w:rsid w:val="000C5DE6"/>
    <w:rsid w:val="000C688A"/>
    <w:rsid w:val="000E4628"/>
    <w:rsid w:val="000F275A"/>
    <w:rsid w:val="000F27DE"/>
    <w:rsid w:val="000F5975"/>
    <w:rsid w:val="000F65C7"/>
    <w:rsid w:val="000F7E68"/>
    <w:rsid w:val="001000A3"/>
    <w:rsid w:val="0010407E"/>
    <w:rsid w:val="00117BA4"/>
    <w:rsid w:val="00134A2F"/>
    <w:rsid w:val="00135A6F"/>
    <w:rsid w:val="00141755"/>
    <w:rsid w:val="00145AAF"/>
    <w:rsid w:val="00146C54"/>
    <w:rsid w:val="001473AC"/>
    <w:rsid w:val="001660F4"/>
    <w:rsid w:val="001701A2"/>
    <w:rsid w:val="00176CDE"/>
    <w:rsid w:val="00182023"/>
    <w:rsid w:val="00185EF9"/>
    <w:rsid w:val="00186753"/>
    <w:rsid w:val="001901E8"/>
    <w:rsid w:val="0019050C"/>
    <w:rsid w:val="00197C60"/>
    <w:rsid w:val="001A0C9C"/>
    <w:rsid w:val="001A6C12"/>
    <w:rsid w:val="001A736B"/>
    <w:rsid w:val="001A7425"/>
    <w:rsid w:val="001B6C00"/>
    <w:rsid w:val="001C11C3"/>
    <w:rsid w:val="001C679A"/>
    <w:rsid w:val="001E0885"/>
    <w:rsid w:val="001E2B82"/>
    <w:rsid w:val="001E436E"/>
    <w:rsid w:val="001F08CD"/>
    <w:rsid w:val="001F4776"/>
    <w:rsid w:val="002026BE"/>
    <w:rsid w:val="002059AB"/>
    <w:rsid w:val="00211F26"/>
    <w:rsid w:val="00214684"/>
    <w:rsid w:val="00216D8A"/>
    <w:rsid w:val="00221464"/>
    <w:rsid w:val="002217B0"/>
    <w:rsid w:val="00232FB7"/>
    <w:rsid w:val="0023454A"/>
    <w:rsid w:val="0024003F"/>
    <w:rsid w:val="00242A08"/>
    <w:rsid w:val="00246D8C"/>
    <w:rsid w:val="002516E5"/>
    <w:rsid w:val="002673C1"/>
    <w:rsid w:val="002748EE"/>
    <w:rsid w:val="00281909"/>
    <w:rsid w:val="0029046B"/>
    <w:rsid w:val="002943F1"/>
    <w:rsid w:val="002A44CD"/>
    <w:rsid w:val="002B3B4F"/>
    <w:rsid w:val="002B7A5E"/>
    <w:rsid w:val="002B7EF2"/>
    <w:rsid w:val="002D1696"/>
    <w:rsid w:val="002D1F24"/>
    <w:rsid w:val="002E0299"/>
    <w:rsid w:val="002F02D9"/>
    <w:rsid w:val="002F48D8"/>
    <w:rsid w:val="002F7E12"/>
    <w:rsid w:val="003059A5"/>
    <w:rsid w:val="0031234D"/>
    <w:rsid w:val="00312D61"/>
    <w:rsid w:val="003153E3"/>
    <w:rsid w:val="00317601"/>
    <w:rsid w:val="00326C5C"/>
    <w:rsid w:val="00333AD6"/>
    <w:rsid w:val="003361E3"/>
    <w:rsid w:val="00340E52"/>
    <w:rsid w:val="00343EF5"/>
    <w:rsid w:val="00350F03"/>
    <w:rsid w:val="00350F56"/>
    <w:rsid w:val="00353C1F"/>
    <w:rsid w:val="003564F1"/>
    <w:rsid w:val="00362DBD"/>
    <w:rsid w:val="0036556D"/>
    <w:rsid w:val="00373C10"/>
    <w:rsid w:val="00376330"/>
    <w:rsid w:val="0037665E"/>
    <w:rsid w:val="0038136F"/>
    <w:rsid w:val="003820D6"/>
    <w:rsid w:val="00390878"/>
    <w:rsid w:val="00393F4C"/>
    <w:rsid w:val="00397601"/>
    <w:rsid w:val="003B2732"/>
    <w:rsid w:val="003B3CAE"/>
    <w:rsid w:val="003C3A70"/>
    <w:rsid w:val="003C53DE"/>
    <w:rsid w:val="003C71B5"/>
    <w:rsid w:val="003C7972"/>
    <w:rsid w:val="003D2ED9"/>
    <w:rsid w:val="003E4B54"/>
    <w:rsid w:val="003E5A3C"/>
    <w:rsid w:val="003F0B5F"/>
    <w:rsid w:val="003F3225"/>
    <w:rsid w:val="003F3E5D"/>
    <w:rsid w:val="003F3E7E"/>
    <w:rsid w:val="003F7927"/>
    <w:rsid w:val="004029D4"/>
    <w:rsid w:val="004078B7"/>
    <w:rsid w:val="00407943"/>
    <w:rsid w:val="00415631"/>
    <w:rsid w:val="0041581C"/>
    <w:rsid w:val="00415D1B"/>
    <w:rsid w:val="004162DB"/>
    <w:rsid w:val="00423557"/>
    <w:rsid w:val="00434F95"/>
    <w:rsid w:val="004406E0"/>
    <w:rsid w:val="00442A36"/>
    <w:rsid w:val="00444C85"/>
    <w:rsid w:val="00451C2B"/>
    <w:rsid w:val="00453469"/>
    <w:rsid w:val="00455924"/>
    <w:rsid w:val="00461193"/>
    <w:rsid w:val="00480ACD"/>
    <w:rsid w:val="00482DB5"/>
    <w:rsid w:val="00482E6D"/>
    <w:rsid w:val="0048468C"/>
    <w:rsid w:val="00490684"/>
    <w:rsid w:val="004A0F67"/>
    <w:rsid w:val="004A2306"/>
    <w:rsid w:val="004A7A71"/>
    <w:rsid w:val="004B6DBE"/>
    <w:rsid w:val="004C4EA6"/>
    <w:rsid w:val="004D1DA1"/>
    <w:rsid w:val="004D444B"/>
    <w:rsid w:val="004D6C81"/>
    <w:rsid w:val="004E3E73"/>
    <w:rsid w:val="004E45CF"/>
    <w:rsid w:val="004F34B6"/>
    <w:rsid w:val="004F56FD"/>
    <w:rsid w:val="00500A0A"/>
    <w:rsid w:val="00501821"/>
    <w:rsid w:val="00506E61"/>
    <w:rsid w:val="00516591"/>
    <w:rsid w:val="005253B5"/>
    <w:rsid w:val="00526DA1"/>
    <w:rsid w:val="00543A37"/>
    <w:rsid w:val="005509AD"/>
    <w:rsid w:val="00556590"/>
    <w:rsid w:val="00557118"/>
    <w:rsid w:val="005571CA"/>
    <w:rsid w:val="0056787E"/>
    <w:rsid w:val="0057684D"/>
    <w:rsid w:val="00577660"/>
    <w:rsid w:val="00590159"/>
    <w:rsid w:val="00590788"/>
    <w:rsid w:val="00597767"/>
    <w:rsid w:val="00597869"/>
    <w:rsid w:val="005A3C3C"/>
    <w:rsid w:val="005A3F79"/>
    <w:rsid w:val="005B523D"/>
    <w:rsid w:val="005B5EC2"/>
    <w:rsid w:val="005B6449"/>
    <w:rsid w:val="005B6EB6"/>
    <w:rsid w:val="005C1C77"/>
    <w:rsid w:val="005C3B5B"/>
    <w:rsid w:val="005C3E69"/>
    <w:rsid w:val="005C667F"/>
    <w:rsid w:val="005D3FF4"/>
    <w:rsid w:val="005E5636"/>
    <w:rsid w:val="005E5D59"/>
    <w:rsid w:val="005F00A0"/>
    <w:rsid w:val="005F3FB2"/>
    <w:rsid w:val="005F4FC4"/>
    <w:rsid w:val="005F5D0C"/>
    <w:rsid w:val="00603236"/>
    <w:rsid w:val="00605722"/>
    <w:rsid w:val="00614368"/>
    <w:rsid w:val="00614C61"/>
    <w:rsid w:val="00614F5A"/>
    <w:rsid w:val="00616230"/>
    <w:rsid w:val="006169CA"/>
    <w:rsid w:val="00634CF0"/>
    <w:rsid w:val="00637B65"/>
    <w:rsid w:val="00655F04"/>
    <w:rsid w:val="00664121"/>
    <w:rsid w:val="006655D9"/>
    <w:rsid w:val="00673592"/>
    <w:rsid w:val="00684C00"/>
    <w:rsid w:val="0069066A"/>
    <w:rsid w:val="00691AB0"/>
    <w:rsid w:val="00693C86"/>
    <w:rsid w:val="00694656"/>
    <w:rsid w:val="00696BAE"/>
    <w:rsid w:val="006A0288"/>
    <w:rsid w:val="006A53C5"/>
    <w:rsid w:val="006A7637"/>
    <w:rsid w:val="006B3193"/>
    <w:rsid w:val="006B4403"/>
    <w:rsid w:val="006C21D7"/>
    <w:rsid w:val="006C4D82"/>
    <w:rsid w:val="006C6F63"/>
    <w:rsid w:val="006D5380"/>
    <w:rsid w:val="006D66AE"/>
    <w:rsid w:val="006E05D4"/>
    <w:rsid w:val="006E4D63"/>
    <w:rsid w:val="006E6910"/>
    <w:rsid w:val="006E7C9B"/>
    <w:rsid w:val="00705DCE"/>
    <w:rsid w:val="00710BFF"/>
    <w:rsid w:val="00713FA5"/>
    <w:rsid w:val="00716235"/>
    <w:rsid w:val="00716319"/>
    <w:rsid w:val="00717709"/>
    <w:rsid w:val="007344FA"/>
    <w:rsid w:val="007348C2"/>
    <w:rsid w:val="0073585D"/>
    <w:rsid w:val="0074090E"/>
    <w:rsid w:val="00742D81"/>
    <w:rsid w:val="007552B3"/>
    <w:rsid w:val="00763D6D"/>
    <w:rsid w:val="00775543"/>
    <w:rsid w:val="00775DFD"/>
    <w:rsid w:val="00777B29"/>
    <w:rsid w:val="00786A9B"/>
    <w:rsid w:val="00787553"/>
    <w:rsid w:val="007876DB"/>
    <w:rsid w:val="007A07CD"/>
    <w:rsid w:val="007A1473"/>
    <w:rsid w:val="007A46FE"/>
    <w:rsid w:val="007B1C70"/>
    <w:rsid w:val="007C3C4F"/>
    <w:rsid w:val="007C5FD5"/>
    <w:rsid w:val="007C73E2"/>
    <w:rsid w:val="007D7197"/>
    <w:rsid w:val="007E2438"/>
    <w:rsid w:val="008036EC"/>
    <w:rsid w:val="00804314"/>
    <w:rsid w:val="00807CD7"/>
    <w:rsid w:val="008120F0"/>
    <w:rsid w:val="00812F55"/>
    <w:rsid w:val="008148A3"/>
    <w:rsid w:val="00815563"/>
    <w:rsid w:val="0082626A"/>
    <w:rsid w:val="00831ED9"/>
    <w:rsid w:val="00832D4E"/>
    <w:rsid w:val="00833C83"/>
    <w:rsid w:val="00835A4D"/>
    <w:rsid w:val="008628FD"/>
    <w:rsid w:val="00887132"/>
    <w:rsid w:val="0089218A"/>
    <w:rsid w:val="00892D29"/>
    <w:rsid w:val="008A6B60"/>
    <w:rsid w:val="008B6AF9"/>
    <w:rsid w:val="008C2BFC"/>
    <w:rsid w:val="008D23EA"/>
    <w:rsid w:val="008D7300"/>
    <w:rsid w:val="008F31FC"/>
    <w:rsid w:val="008F4E1B"/>
    <w:rsid w:val="008F7286"/>
    <w:rsid w:val="009034F4"/>
    <w:rsid w:val="0090355B"/>
    <w:rsid w:val="0090408C"/>
    <w:rsid w:val="00905D3C"/>
    <w:rsid w:val="0092096D"/>
    <w:rsid w:val="0092251F"/>
    <w:rsid w:val="0093212D"/>
    <w:rsid w:val="00937838"/>
    <w:rsid w:val="00946218"/>
    <w:rsid w:val="00953D31"/>
    <w:rsid w:val="0095448D"/>
    <w:rsid w:val="00962CC8"/>
    <w:rsid w:val="009650D4"/>
    <w:rsid w:val="00967C37"/>
    <w:rsid w:val="00974AA8"/>
    <w:rsid w:val="00976FC8"/>
    <w:rsid w:val="009805D7"/>
    <w:rsid w:val="00981B98"/>
    <w:rsid w:val="00981FC4"/>
    <w:rsid w:val="0098480F"/>
    <w:rsid w:val="00995C4C"/>
    <w:rsid w:val="009968E1"/>
    <w:rsid w:val="00997138"/>
    <w:rsid w:val="009A27DF"/>
    <w:rsid w:val="009A38E7"/>
    <w:rsid w:val="009A5968"/>
    <w:rsid w:val="009B041E"/>
    <w:rsid w:val="009C1CD2"/>
    <w:rsid w:val="009C424F"/>
    <w:rsid w:val="009C6308"/>
    <w:rsid w:val="009D2232"/>
    <w:rsid w:val="009D5C79"/>
    <w:rsid w:val="009E57B5"/>
    <w:rsid w:val="009F0E23"/>
    <w:rsid w:val="009F31A7"/>
    <w:rsid w:val="009F62D5"/>
    <w:rsid w:val="009F7535"/>
    <w:rsid w:val="009F7B1E"/>
    <w:rsid w:val="00A019A9"/>
    <w:rsid w:val="00A03F10"/>
    <w:rsid w:val="00A0503D"/>
    <w:rsid w:val="00A11687"/>
    <w:rsid w:val="00A2042F"/>
    <w:rsid w:val="00A263E3"/>
    <w:rsid w:val="00A3470D"/>
    <w:rsid w:val="00A361DA"/>
    <w:rsid w:val="00A47017"/>
    <w:rsid w:val="00A5123D"/>
    <w:rsid w:val="00A572E2"/>
    <w:rsid w:val="00A636AD"/>
    <w:rsid w:val="00A75947"/>
    <w:rsid w:val="00A75DAD"/>
    <w:rsid w:val="00A77EB0"/>
    <w:rsid w:val="00A8498D"/>
    <w:rsid w:val="00A87091"/>
    <w:rsid w:val="00AC0CE8"/>
    <w:rsid w:val="00AC1460"/>
    <w:rsid w:val="00AC4708"/>
    <w:rsid w:val="00AC6A3F"/>
    <w:rsid w:val="00AC7ED7"/>
    <w:rsid w:val="00AE2201"/>
    <w:rsid w:val="00AE7B2D"/>
    <w:rsid w:val="00AF426B"/>
    <w:rsid w:val="00AF78DC"/>
    <w:rsid w:val="00B025CB"/>
    <w:rsid w:val="00B0317D"/>
    <w:rsid w:val="00B0432B"/>
    <w:rsid w:val="00B0796A"/>
    <w:rsid w:val="00B11239"/>
    <w:rsid w:val="00B117E1"/>
    <w:rsid w:val="00B11803"/>
    <w:rsid w:val="00B11DA5"/>
    <w:rsid w:val="00B131A4"/>
    <w:rsid w:val="00B13E23"/>
    <w:rsid w:val="00B147BD"/>
    <w:rsid w:val="00B2260B"/>
    <w:rsid w:val="00B25C31"/>
    <w:rsid w:val="00B31F67"/>
    <w:rsid w:val="00B34EA7"/>
    <w:rsid w:val="00B34F34"/>
    <w:rsid w:val="00B37B33"/>
    <w:rsid w:val="00B37DBD"/>
    <w:rsid w:val="00B4744B"/>
    <w:rsid w:val="00B541D2"/>
    <w:rsid w:val="00B57FF6"/>
    <w:rsid w:val="00B63119"/>
    <w:rsid w:val="00B64BF2"/>
    <w:rsid w:val="00B66CBF"/>
    <w:rsid w:val="00B6772D"/>
    <w:rsid w:val="00B67B19"/>
    <w:rsid w:val="00B8243C"/>
    <w:rsid w:val="00B91ADE"/>
    <w:rsid w:val="00B96241"/>
    <w:rsid w:val="00B97695"/>
    <w:rsid w:val="00BA0030"/>
    <w:rsid w:val="00BA26C1"/>
    <w:rsid w:val="00BA3007"/>
    <w:rsid w:val="00BA3E04"/>
    <w:rsid w:val="00BA48DA"/>
    <w:rsid w:val="00BB209D"/>
    <w:rsid w:val="00BB67C4"/>
    <w:rsid w:val="00BC0A78"/>
    <w:rsid w:val="00BC30B0"/>
    <w:rsid w:val="00BE2110"/>
    <w:rsid w:val="00BE35D0"/>
    <w:rsid w:val="00C040FB"/>
    <w:rsid w:val="00C118DF"/>
    <w:rsid w:val="00C137DA"/>
    <w:rsid w:val="00C142C2"/>
    <w:rsid w:val="00C147EC"/>
    <w:rsid w:val="00C16BE9"/>
    <w:rsid w:val="00C27804"/>
    <w:rsid w:val="00C30DD2"/>
    <w:rsid w:val="00C437BB"/>
    <w:rsid w:val="00C4419D"/>
    <w:rsid w:val="00C45D06"/>
    <w:rsid w:val="00C528D9"/>
    <w:rsid w:val="00C61778"/>
    <w:rsid w:val="00C62EEE"/>
    <w:rsid w:val="00C6509E"/>
    <w:rsid w:val="00C75608"/>
    <w:rsid w:val="00C8132F"/>
    <w:rsid w:val="00C81DE7"/>
    <w:rsid w:val="00C82D0C"/>
    <w:rsid w:val="00C86162"/>
    <w:rsid w:val="00C9049C"/>
    <w:rsid w:val="00C95941"/>
    <w:rsid w:val="00CB0DC1"/>
    <w:rsid w:val="00CB2227"/>
    <w:rsid w:val="00CB2D25"/>
    <w:rsid w:val="00CB2EE9"/>
    <w:rsid w:val="00CB4BCA"/>
    <w:rsid w:val="00CB729F"/>
    <w:rsid w:val="00CC169B"/>
    <w:rsid w:val="00CC2052"/>
    <w:rsid w:val="00CC5584"/>
    <w:rsid w:val="00CD40A3"/>
    <w:rsid w:val="00CE22F2"/>
    <w:rsid w:val="00CE443B"/>
    <w:rsid w:val="00CF250B"/>
    <w:rsid w:val="00CF26EE"/>
    <w:rsid w:val="00D00EC6"/>
    <w:rsid w:val="00D010A2"/>
    <w:rsid w:val="00D01108"/>
    <w:rsid w:val="00D04A5D"/>
    <w:rsid w:val="00D10F15"/>
    <w:rsid w:val="00D15287"/>
    <w:rsid w:val="00D24049"/>
    <w:rsid w:val="00D24502"/>
    <w:rsid w:val="00D30F02"/>
    <w:rsid w:val="00D327E4"/>
    <w:rsid w:val="00D329C5"/>
    <w:rsid w:val="00D35168"/>
    <w:rsid w:val="00D44D98"/>
    <w:rsid w:val="00D46061"/>
    <w:rsid w:val="00D559E8"/>
    <w:rsid w:val="00D56D12"/>
    <w:rsid w:val="00D603DC"/>
    <w:rsid w:val="00D60ECC"/>
    <w:rsid w:val="00D678BA"/>
    <w:rsid w:val="00D67BA7"/>
    <w:rsid w:val="00D7207B"/>
    <w:rsid w:val="00D81673"/>
    <w:rsid w:val="00D83BDB"/>
    <w:rsid w:val="00D9128F"/>
    <w:rsid w:val="00D954CA"/>
    <w:rsid w:val="00DA5371"/>
    <w:rsid w:val="00DA7622"/>
    <w:rsid w:val="00DB4FFF"/>
    <w:rsid w:val="00DB78F4"/>
    <w:rsid w:val="00DC1A17"/>
    <w:rsid w:val="00DC3210"/>
    <w:rsid w:val="00DC3E38"/>
    <w:rsid w:val="00DC57A3"/>
    <w:rsid w:val="00DD00F0"/>
    <w:rsid w:val="00DD5E2E"/>
    <w:rsid w:val="00DE0F8B"/>
    <w:rsid w:val="00DE163D"/>
    <w:rsid w:val="00DE1D79"/>
    <w:rsid w:val="00DE6B12"/>
    <w:rsid w:val="00DF4F82"/>
    <w:rsid w:val="00DF74F7"/>
    <w:rsid w:val="00E01567"/>
    <w:rsid w:val="00E03CBF"/>
    <w:rsid w:val="00E053D4"/>
    <w:rsid w:val="00E141C4"/>
    <w:rsid w:val="00E17F21"/>
    <w:rsid w:val="00E20B8C"/>
    <w:rsid w:val="00E24B4E"/>
    <w:rsid w:val="00E320C5"/>
    <w:rsid w:val="00E34947"/>
    <w:rsid w:val="00E34980"/>
    <w:rsid w:val="00E4124E"/>
    <w:rsid w:val="00E44311"/>
    <w:rsid w:val="00E45069"/>
    <w:rsid w:val="00E50264"/>
    <w:rsid w:val="00E5522A"/>
    <w:rsid w:val="00E55C7F"/>
    <w:rsid w:val="00E57EA7"/>
    <w:rsid w:val="00E654BC"/>
    <w:rsid w:val="00E67F8A"/>
    <w:rsid w:val="00E7046D"/>
    <w:rsid w:val="00E717FE"/>
    <w:rsid w:val="00E825A9"/>
    <w:rsid w:val="00E85EFA"/>
    <w:rsid w:val="00E87F1D"/>
    <w:rsid w:val="00E92959"/>
    <w:rsid w:val="00E93C4E"/>
    <w:rsid w:val="00E94020"/>
    <w:rsid w:val="00EB135A"/>
    <w:rsid w:val="00EC68D5"/>
    <w:rsid w:val="00ED3843"/>
    <w:rsid w:val="00ED41DA"/>
    <w:rsid w:val="00ED63A9"/>
    <w:rsid w:val="00EE1E55"/>
    <w:rsid w:val="00EE51D1"/>
    <w:rsid w:val="00EE713B"/>
    <w:rsid w:val="00EF4AA8"/>
    <w:rsid w:val="00EF74A9"/>
    <w:rsid w:val="00F12E8F"/>
    <w:rsid w:val="00F247E7"/>
    <w:rsid w:val="00F25272"/>
    <w:rsid w:val="00F308F6"/>
    <w:rsid w:val="00F34120"/>
    <w:rsid w:val="00F37A00"/>
    <w:rsid w:val="00F41CB6"/>
    <w:rsid w:val="00F513C4"/>
    <w:rsid w:val="00F5790A"/>
    <w:rsid w:val="00F62908"/>
    <w:rsid w:val="00F635C0"/>
    <w:rsid w:val="00F6768B"/>
    <w:rsid w:val="00F67E91"/>
    <w:rsid w:val="00F7578E"/>
    <w:rsid w:val="00F8064B"/>
    <w:rsid w:val="00F868CC"/>
    <w:rsid w:val="00F8702C"/>
    <w:rsid w:val="00F938BD"/>
    <w:rsid w:val="00F97B56"/>
    <w:rsid w:val="00FA4456"/>
    <w:rsid w:val="00FA6FFF"/>
    <w:rsid w:val="00FB4A94"/>
    <w:rsid w:val="00FC0740"/>
    <w:rsid w:val="00FC0B8D"/>
    <w:rsid w:val="00FC6DE2"/>
    <w:rsid w:val="00FD0908"/>
    <w:rsid w:val="00FD60CA"/>
    <w:rsid w:val="00FE511D"/>
    <w:rsid w:val="00FF0471"/>
    <w:rsid w:val="00FF181F"/>
    <w:rsid w:val="00FF51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3637"/>
  <w15:chartTrackingRefBased/>
  <w15:docId w15:val="{B57AEDAA-1993-43FE-889C-53C1DB97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052"/>
    <w:pPr>
      <w:spacing w:before="120" w:after="120" w:line="240" w:lineRule="auto"/>
    </w:pPr>
    <w:rPr>
      <w:rFonts w:ascii="Arial" w:hAnsi="Arial"/>
    </w:rPr>
  </w:style>
  <w:style w:type="paragraph" w:styleId="berschrift1">
    <w:name w:val="heading 1"/>
    <w:basedOn w:val="Standard"/>
    <w:next w:val="Standard"/>
    <w:link w:val="berschrift1Zchn"/>
    <w:uiPriority w:val="9"/>
    <w:qFormat/>
    <w:rsid w:val="00CC2052"/>
    <w:pPr>
      <w:keepNext/>
      <w:keepLines/>
      <w:spacing w:before="240" w:after="240" w:line="360" w:lineRule="auto"/>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CC2052"/>
    <w:pPr>
      <w:keepNext/>
      <w:keepLines/>
      <w:outlineLvl w:val="1"/>
    </w:pPr>
    <w:rPr>
      <w:rFonts w:eastAsiaTheme="majorEastAsia" w:cstheme="majorBidi"/>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205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CC2052"/>
    <w:rPr>
      <w:rFonts w:ascii="Arial" w:eastAsiaTheme="majorEastAsia" w:hAnsi="Arial" w:cstheme="majorBidi"/>
      <w:b/>
      <w:bCs/>
      <w:sz w:val="24"/>
      <w:szCs w:val="26"/>
    </w:rPr>
  </w:style>
  <w:style w:type="paragraph" w:styleId="Titel">
    <w:name w:val="Title"/>
    <w:basedOn w:val="Standard"/>
    <w:next w:val="Standard"/>
    <w:link w:val="TitelZchn"/>
    <w:uiPriority w:val="10"/>
    <w:qFormat/>
    <w:rsid w:val="000F65C7"/>
    <w:pPr>
      <w:spacing w:before="0"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65C7"/>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1E0885"/>
    <w:rPr>
      <w:color w:val="0000FF" w:themeColor="hyperlink"/>
      <w:u w:val="single"/>
    </w:rPr>
  </w:style>
  <w:style w:type="character" w:styleId="NichtaufgelsteErwhnung">
    <w:name w:val="Unresolved Mention"/>
    <w:basedOn w:val="Absatz-Standardschriftart"/>
    <w:uiPriority w:val="99"/>
    <w:semiHidden/>
    <w:unhideWhenUsed/>
    <w:rsid w:val="001E0885"/>
    <w:rPr>
      <w:color w:val="605E5C"/>
      <w:shd w:val="clear" w:color="auto" w:fill="E1DFDD"/>
    </w:rPr>
  </w:style>
  <w:style w:type="paragraph" w:styleId="Funotentext">
    <w:name w:val="footnote text"/>
    <w:basedOn w:val="Standard"/>
    <w:link w:val="FunotentextZchn"/>
    <w:uiPriority w:val="99"/>
    <w:semiHidden/>
    <w:unhideWhenUsed/>
    <w:rsid w:val="003F7927"/>
    <w:pPr>
      <w:overflowPunct w:val="0"/>
      <w:autoSpaceDE w:val="0"/>
      <w:autoSpaceDN w:val="0"/>
      <w:adjustRightInd w:val="0"/>
      <w:spacing w:before="0" w:after="0"/>
      <w:textAlignment w:val="baseline"/>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3F7927"/>
    <w:rPr>
      <w:rFonts w:ascii="Arial" w:eastAsia="Times New Roman" w:hAnsi="Arial" w:cs="Times New Roman"/>
      <w:sz w:val="20"/>
      <w:szCs w:val="20"/>
    </w:rPr>
  </w:style>
  <w:style w:type="table" w:styleId="Tabellenraster">
    <w:name w:val="Table Grid"/>
    <w:basedOn w:val="NormaleTabelle"/>
    <w:uiPriority w:val="59"/>
    <w:rsid w:val="009F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undesaerztekammer.de/fileadmin/user_upload/downloads/pdf-Ordner/International/Deklaration_von_Helsinki_2013_2019090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df-it.dev.acw.website/please-and-thank-you?url=https://www.wma.net/policies-post/wma-declaration-of-helsinki-ethical-principles-for-medical-research-involving-human-subjects/&amp;pdfName=wma-declaration-of-helsinki-ethical-principles-for-medical-research-involving-human-subjects" TargetMode="External"/><Relationship Id="rId5" Type="http://schemas.openxmlformats.org/officeDocument/2006/relationships/hyperlink" Target="https://eur-lex.europa.eu/legal-content/DE/TXT/PDF/?uri=CELEX:32016R0679" TargetMode="External"/><Relationship Id="rId4" Type="http://schemas.openxmlformats.org/officeDocument/2006/relationships/hyperlink" Target="https://eur-lex.europa.eu/legal-content/EN/TXT/PDF/?uri=CELEX:32016R0679" TargetMode="Externa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6825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Westenhöfer, Joachim</dc:creator>
  <cp:keywords/>
  <dc:description/>
  <cp:lastModifiedBy>Stange, Christiane</cp:lastModifiedBy>
  <cp:revision>3</cp:revision>
  <dcterms:created xsi:type="dcterms:W3CDTF">2022-11-09T10:44:00Z</dcterms:created>
  <dcterms:modified xsi:type="dcterms:W3CDTF">2022-11-09T11:34:00Z</dcterms:modified>
</cp:coreProperties>
</file>